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636"/>
        <w:ind w:left="0" w:right="0" w:firstLine="0"/>
        <w:jc w:val="left"/>
      </w:pPr>
      <w:r>
        <w:rPr>
          <w:color w:val="000000"/>
          <w:spacing w:val="0"/>
          <w:w w:val="100"/>
          <w:position w:val="0"/>
          <w:sz w:val="48"/>
          <w:szCs w:val="48"/>
          <w:shd w:val="clear" w:color="auto" w:fill="auto"/>
          <w:lang w:val="bg-BG" w:eastAsia="bg-BG" w:bidi="bg-BG"/>
        </w:rPr>
        <w:t xml:space="preserve">Единен европейски документ за обществени поръчки (ЕЕДОП) </w:t>
      </w:r>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 </w:t>
      </w:r>
      <w:r>
        <w:rPr>
          <w:color w:val="000000"/>
          <w:spacing w:val="0"/>
          <w:w w:val="100"/>
          <w:position w:val="0"/>
          <w:shd w:val="clear" w:color="auto" w:fill="auto"/>
          <w:lang w:val="bg-BG" w:eastAsia="bg-BG" w:bidi="bg-BG"/>
        </w:rPr>
        <w:t>Информация за процедурата за възлагане на обществена поръчка и за възлагащия орган или възложителя</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bookmarkStart w:id="0" w:name="bookmark0"/>
      <w:bookmarkStart w:id="1" w:name="bookmark1"/>
      <w:r>
        <w:rPr>
          <w:color w:val="FFFFFF"/>
          <w:spacing w:val="0"/>
          <w:w w:val="100"/>
          <w:position w:val="0"/>
          <w:sz w:val="24"/>
          <w:szCs w:val="24"/>
          <w:shd w:val="clear" w:color="auto" w:fill="auto"/>
          <w:lang w:val="bg-BG" w:eastAsia="bg-BG" w:bidi="bg-BG"/>
        </w:rPr>
        <w:t>Информация за публикацията</w:t>
      </w:r>
      <w:bookmarkEnd w:id="0"/>
      <w:bookmarkEnd w:id="1"/>
    </w:p>
    <w:p>
      <w:pPr>
        <w:pStyle w:val="Style11"/>
        <w:keepNext w:val="0"/>
        <w:keepLines w:val="0"/>
        <w:widowControl w:val="0"/>
        <w:shd w:val="clear" w:color="auto" w:fill="auto"/>
        <w:bidi w:val="0"/>
        <w:spacing w:before="0" w:after="360"/>
        <w:ind w:left="0" w:right="0" w:firstLine="0"/>
        <w:jc w:val="left"/>
      </w:pPr>
      <w:r>
        <w:rPr>
          <w:color w:val="000000"/>
          <w:spacing w:val="0"/>
          <w:w w:val="100"/>
          <w:position w:val="0"/>
          <w:sz w:val="24"/>
          <w:szCs w:val="24"/>
          <w:shd w:val="clear" w:color="auto" w:fill="auto"/>
          <w:lang w:val="bg-BG" w:eastAsia="bg-BG" w:bidi="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ще бъде извлечена автоматично, при условие че ЕЕДОП е създаден и попълнен чрез посочената по-горе електронна система за ЕЕДОП. Препратка към публикуваното обявление в Официален вестник на Европейския съюз: </w:t>
      </w:r>
      <w:r>
        <w:rPr>
          <w:b/>
          <w:bCs/>
          <w:color w:val="000000"/>
          <w:spacing w:val="0"/>
          <w:w w:val="100"/>
          <w:position w:val="0"/>
          <w:sz w:val="24"/>
          <w:szCs w:val="24"/>
          <w:shd w:val="clear" w:color="auto" w:fill="auto"/>
          <w:lang w:val="bg-BG" w:eastAsia="bg-BG" w:bidi="bg-BG"/>
        </w:rPr>
        <w:t>Получен номер на обявлението</w:t>
      </w:r>
    </w:p>
    <w:p>
      <w:pPr>
        <w:pStyle w:val="Style8"/>
        <w:keepNext/>
        <w:keepLines/>
        <w:widowControl w:val="0"/>
        <w:shd w:val="clear" w:color="auto" w:fill="auto"/>
        <w:bidi w:val="0"/>
        <w:spacing w:before="0" w:after="360"/>
        <w:ind w:left="0" w:right="0" w:firstLine="0"/>
        <w:jc w:val="left"/>
      </w:pPr>
      <w:bookmarkStart w:id="2" w:name="bookmark2"/>
      <w:bookmarkStart w:id="3" w:name="bookmark3"/>
      <w:r>
        <w:rPr>
          <w:color w:val="000000"/>
          <w:spacing w:val="0"/>
          <w:w w:val="100"/>
          <w:position w:val="0"/>
          <w:sz w:val="24"/>
          <w:szCs w:val="24"/>
          <w:shd w:val="clear" w:color="auto" w:fill="auto"/>
          <w:lang w:val="bg-BG" w:eastAsia="bg-BG" w:bidi="bg-BG"/>
        </w:rPr>
        <w:t xml:space="preserve">Номер на обявлението в ОВ </w:t>
      </w:r>
      <w:r>
        <w:rPr>
          <w:color w:val="000000"/>
          <w:spacing w:val="0"/>
          <w:w w:val="100"/>
          <w:position w:val="0"/>
          <w:sz w:val="24"/>
          <w:szCs w:val="24"/>
          <w:shd w:val="clear" w:color="auto" w:fill="auto"/>
          <w:lang w:val="en-GB" w:eastAsia="en-GB" w:bidi="en-GB"/>
        </w:rPr>
        <w:t>S:</w:t>
      </w:r>
      <w:bookmarkEnd w:id="2"/>
      <w:bookmarkEnd w:id="3"/>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en-GB" w:eastAsia="en-GB" w:bidi="en-GB"/>
        </w:rPr>
        <w:t>OJS URL</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Публикация в РОП</w:t>
      </w:r>
    </w:p>
    <w:p>
      <w:pPr>
        <w:pStyle w:val="Style11"/>
        <w:keepNext w:val="0"/>
        <w:keepLines w:val="0"/>
        <w:widowControl w:val="0"/>
        <w:shd w:val="clear" w:color="auto" w:fill="auto"/>
        <w:bidi w:val="0"/>
        <w:spacing w:before="0" w:after="336"/>
        <w:ind w:left="0" w:right="0" w:firstLine="0"/>
        <w:jc w:val="left"/>
      </w:pPr>
      <w:r>
        <w:rPr>
          <w:color w:val="000000"/>
          <w:spacing w:val="0"/>
          <w:w w:val="100"/>
          <w:position w:val="0"/>
          <w:sz w:val="24"/>
          <w:szCs w:val="24"/>
          <w:shd w:val="clear" w:color="auto" w:fill="auto"/>
          <w:lang w:val="bg-BG" w:eastAsia="bg-BG" w:bidi="bg-BG"/>
        </w:rPr>
        <w:t>Когато не се публикува покана за участие в състезателна процедура в Официален вестник на Европейския съюз или ако не е длъжен да публикува там, възлагащият орган или възложителят трябва да посочи информацията,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r>
        <w:rPr>
          <w:b/>
          <w:bCs/>
          <w:color w:val="FFFFFF"/>
          <w:spacing w:val="0"/>
          <w:w w:val="100"/>
          <w:position w:val="0"/>
          <w:sz w:val="24"/>
          <w:szCs w:val="24"/>
          <w:shd w:val="clear" w:color="auto" w:fill="auto"/>
          <w:lang w:val="bg-BG" w:eastAsia="bg-BG" w:bidi="bg-BG"/>
        </w:rPr>
        <w:t>Идентифициране на възложителя</w:t>
      </w:r>
    </w:p>
    <w:p>
      <w:pPr>
        <w:pStyle w:val="Style11"/>
        <w:keepNext w:val="0"/>
        <w:keepLines w:val="0"/>
        <w:widowControl w:val="0"/>
        <w:shd w:val="clear" w:color="auto" w:fill="auto"/>
        <w:bidi w:val="0"/>
        <w:spacing w:before="0" w:after="0" w:line="334" w:lineRule="auto"/>
        <w:ind w:left="0" w:right="0" w:firstLine="0"/>
        <w:jc w:val="both"/>
      </w:pPr>
      <w:r>
        <w:rPr>
          <w:b/>
          <w:bCs/>
          <w:color w:val="000000"/>
          <w:spacing w:val="0"/>
          <w:w w:val="100"/>
          <w:position w:val="0"/>
          <w:sz w:val="24"/>
          <w:szCs w:val="24"/>
          <w:shd w:val="clear" w:color="auto" w:fill="auto"/>
          <w:lang w:val="bg-BG" w:eastAsia="bg-BG" w:bidi="bg-BG"/>
        </w:rPr>
        <w:t>Официално наименование:</w:t>
      </w:r>
    </w:p>
    <w:p>
      <w:pPr>
        <w:pStyle w:val="Style11"/>
        <w:keepNext w:val="0"/>
        <w:keepLines w:val="0"/>
        <w:widowControl w:val="0"/>
        <w:shd w:val="clear" w:color="auto" w:fill="auto"/>
        <w:bidi w:val="0"/>
        <w:spacing w:before="0" w:after="0" w:line="334" w:lineRule="auto"/>
        <w:ind w:left="0" w:right="0" w:firstLine="0"/>
        <w:jc w:val="left"/>
      </w:pPr>
      <w:r>
        <w:rPr>
          <w:color w:val="000000"/>
          <w:spacing w:val="0"/>
          <w:w w:val="100"/>
          <w:position w:val="0"/>
          <w:sz w:val="24"/>
          <w:szCs w:val="24"/>
          <w:shd w:val="clear" w:color="auto" w:fill="auto"/>
          <w:lang w:val="bg-BG" w:eastAsia="bg-BG" w:bidi="bg-BG"/>
        </w:rPr>
        <w:t xml:space="preserve">КОМИСИЯ ЗА РЕГУЛИРАНЕ НА СЪОБЩЕНИЯТА </w:t>
      </w: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36" w:line="334" w:lineRule="auto"/>
        <w:ind w:left="0" w:right="0" w:firstLine="0"/>
        <w:jc w:val="left"/>
      </w:pPr>
      <w:r>
        <w:rPr>
          <w:color w:val="000000"/>
          <w:spacing w:val="0"/>
          <w:w w:val="100"/>
          <w:position w:val="0"/>
          <w:sz w:val="24"/>
          <w:szCs w:val="24"/>
          <w:shd w:val="clear" w:color="auto" w:fill="auto"/>
          <w:lang w:val="bg-BG" w:eastAsia="bg-BG" w:bidi="bg-BG"/>
        </w:rPr>
        <w:t>България</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31" w:line="326" w:lineRule="auto"/>
        <w:ind w:left="0" w:right="0" w:firstLine="0"/>
        <w:jc w:val="left"/>
      </w:pPr>
      <w:r>
        <w:rPr>
          <w:b/>
          <w:bCs/>
          <w:color w:val="FFFFFF"/>
          <w:spacing w:val="0"/>
          <w:w w:val="100"/>
          <w:position w:val="0"/>
          <w:sz w:val="24"/>
          <w:szCs w:val="24"/>
          <w:shd w:val="clear" w:color="auto" w:fill="auto"/>
          <w:lang w:val="bg-BG" w:eastAsia="bg-BG" w:bidi="bg-BG"/>
        </w:rPr>
        <w:t>Информация относно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 xml:space="preserve">Вид процедура </w:t>
      </w:r>
      <w:r>
        <w:rPr>
          <w:color w:val="000000"/>
          <w:spacing w:val="0"/>
          <w:w w:val="100"/>
          <w:position w:val="0"/>
          <w:sz w:val="24"/>
          <w:szCs w:val="24"/>
          <w:shd w:val="clear" w:color="auto" w:fill="auto"/>
          <w:lang w:val="bg-BG" w:eastAsia="bg-BG" w:bidi="bg-BG"/>
        </w:rPr>
        <w:t xml:space="preserve">Открита процедура </w:t>
      </w:r>
      <w:r>
        <w:rPr>
          <w:b/>
          <w:bCs/>
          <w:color w:val="000000"/>
          <w:spacing w:val="0"/>
          <w:w w:val="100"/>
          <w:position w:val="0"/>
          <w:sz w:val="24"/>
          <w:szCs w:val="24"/>
          <w:shd w:val="clear" w:color="auto" w:fill="auto"/>
          <w:lang w:val="bg-BG" w:eastAsia="bg-BG" w:bidi="bg-BG"/>
        </w:rPr>
        <w:t>Наименование: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Доставка на мобилна станция за мониторинг, откриване и локализиране на радиосмущения </w:t>
      </w:r>
      <w:r>
        <w:rPr>
          <w:b/>
          <w:bCs/>
          <w:color w:val="000000"/>
          <w:spacing w:val="0"/>
          <w:w w:val="100"/>
          <w:position w:val="0"/>
          <w:sz w:val="24"/>
          <w:szCs w:val="24"/>
          <w:shd w:val="clear" w:color="auto" w:fill="auto"/>
          <w:lang w:val="bg-BG" w:eastAsia="bg-BG" w:bidi="bg-BG"/>
        </w:rPr>
        <w:t>Кратко описание: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Доставка на 1 мобилна станция за мониторинг, откриване и локализиране на радиосмущения за Националната система за мониторинг на радиочестотния спектър за граждански нужди (НСМ), изградена от КРС. Към настоящия момент НСМ се състои от 15 стационарни станции за мониторинг на РЧС (1 обслужваема 14 необслужваеми дистанционно-управляеми) в обхват от 20 до 3000 </w:t>
      </w:r>
      <w:r>
        <w:rPr>
          <w:color w:val="000000"/>
          <w:spacing w:val="0"/>
          <w:w w:val="100"/>
          <w:position w:val="0"/>
          <w:sz w:val="24"/>
          <w:szCs w:val="24"/>
          <w:shd w:val="clear" w:color="auto" w:fill="auto"/>
          <w:lang w:val="en-GB" w:eastAsia="en-GB" w:bidi="en-GB"/>
        </w:rPr>
        <w:t xml:space="preserve">MHz </w:t>
      </w:r>
      <w:r>
        <w:rPr>
          <w:color w:val="000000"/>
          <w:spacing w:val="0"/>
          <w:w w:val="100"/>
          <w:position w:val="0"/>
          <w:sz w:val="24"/>
          <w:szCs w:val="24"/>
          <w:shd w:val="clear" w:color="auto" w:fill="auto"/>
          <w:lang w:val="bg-BG" w:eastAsia="bg-BG" w:bidi="bg-BG"/>
        </w:rPr>
        <w:t xml:space="preserve">и 8 мобилни станции за мониторинг на РЧС в обхват от 10 </w:t>
      </w:r>
      <w:r>
        <w:rPr>
          <w:color w:val="000000"/>
          <w:spacing w:val="0"/>
          <w:w w:val="100"/>
          <w:position w:val="0"/>
          <w:sz w:val="24"/>
          <w:szCs w:val="24"/>
          <w:shd w:val="clear" w:color="auto" w:fill="auto"/>
          <w:lang w:val="en-GB" w:eastAsia="en-GB" w:bidi="en-GB"/>
        </w:rPr>
        <w:t xml:space="preserve">kHz/20 MHz </w:t>
      </w:r>
      <w:r>
        <w:rPr>
          <w:color w:val="000000"/>
          <w:spacing w:val="0"/>
          <w:w w:val="100"/>
          <w:position w:val="0"/>
          <w:sz w:val="24"/>
          <w:szCs w:val="24"/>
          <w:shd w:val="clear" w:color="auto" w:fill="auto"/>
          <w:lang w:val="bg-BG" w:eastAsia="bg-BG" w:bidi="bg-BG"/>
        </w:rPr>
        <w:t xml:space="preserve">до 3000 М^.Доставката на мобилна станция за радиомониторинг включва: - доставка, конфигуриране и тестване на мобилната станция; -монтаж, инсталиране и пускане в експлоатация на мобилната станция. Целта е да се реализира съвременно решение в съответствие с приложената техническа спецификация, с което: да се повиши ефективността на контрола от КРС на радиочестотния спектър за граждански нужди; да се увеличи капацитетът на НСМ на КРС за радиочестотен мониторинг и измервания в съответствие с изискванията на </w:t>
      </w:r>
      <w:r>
        <w:rPr>
          <w:color w:val="000000"/>
          <w:spacing w:val="0"/>
          <w:w w:val="100"/>
          <w:position w:val="0"/>
          <w:sz w:val="24"/>
          <w:szCs w:val="24"/>
          <w:shd w:val="clear" w:color="auto" w:fill="auto"/>
          <w:lang w:val="en-GB" w:eastAsia="en-GB" w:bidi="en-GB"/>
        </w:rPr>
        <w:t xml:space="preserve">ITU; </w:t>
      </w:r>
      <w:r>
        <w:rPr>
          <w:color w:val="000000"/>
          <w:spacing w:val="0"/>
          <w:w w:val="100"/>
          <w:position w:val="0"/>
          <w:sz w:val="24"/>
          <w:szCs w:val="24"/>
          <w:shd w:val="clear" w:color="auto" w:fill="auto"/>
          <w:lang w:val="bg-BG" w:eastAsia="bg-BG" w:bidi="bg-BG"/>
        </w:rPr>
        <w:t>да се позволи извършването наспециализирани измервания.</w:t>
      </w:r>
    </w:p>
    <w:p>
      <w:pPr>
        <w:pStyle w:val="Style11"/>
        <w:keepNext w:val="0"/>
        <w:keepLines w:val="0"/>
        <w:widowControl w:val="0"/>
        <w:shd w:val="clear" w:color="auto" w:fill="auto"/>
        <w:bidi w:val="0"/>
        <w:spacing w:before="0" w:after="540"/>
        <w:ind w:left="0" w:right="0" w:firstLine="0"/>
        <w:jc w:val="left"/>
      </w:pPr>
      <w:r>
        <w:rPr>
          <w:b/>
          <w:bCs/>
          <w:color w:val="000000"/>
          <w:spacing w:val="0"/>
          <w:w w:val="100"/>
          <w:position w:val="0"/>
          <w:sz w:val="24"/>
          <w:szCs w:val="24"/>
          <w:shd w:val="clear" w:color="auto" w:fill="auto"/>
          <w:lang w:val="bg-BG" w:eastAsia="bg-BG" w:bidi="bg-BG"/>
        </w:rPr>
        <w:t>Референтен номер на досието, определен от възлагащия орган или възложителя (ако е приложимо):</w:t>
      </w:r>
    </w:p>
    <w:p>
      <w:pPr>
        <w:pStyle w:val="Style15"/>
        <w:keepNext/>
        <w:keepLines/>
        <w:widowControl w:val="0"/>
        <w:shd w:val="clear" w:color="auto" w:fill="auto"/>
        <w:bidi w:val="0"/>
        <w:spacing w:before="0" w:after="607" w:line="240" w:lineRule="auto"/>
        <w:ind w:left="0" w:right="0" w:firstLine="0"/>
        <w:jc w:val="left"/>
      </w:pPr>
      <w:bookmarkStart w:id="4" w:name="bookmark4"/>
      <w:bookmarkStart w:id="5" w:name="bookmark5"/>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 </w:t>
      </w:r>
      <w:r>
        <w:rPr>
          <w:color w:val="000000"/>
          <w:spacing w:val="0"/>
          <w:w w:val="100"/>
          <w:position w:val="0"/>
          <w:shd w:val="clear" w:color="auto" w:fill="auto"/>
          <w:lang w:val="bg-BG" w:eastAsia="bg-BG" w:bidi="bg-BG"/>
        </w:rPr>
        <w:t>Информация за икономическия оператор</w:t>
      </w:r>
      <w:bookmarkEnd w:id="4"/>
      <w:bookmarkEnd w:id="5"/>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both"/>
      </w:pPr>
      <w:r>
        <w:rPr>
          <w:b/>
          <w:bCs/>
          <w:color w:val="FFFFFF"/>
          <w:spacing w:val="0"/>
          <w:w w:val="100"/>
          <w:position w:val="0"/>
          <w:sz w:val="24"/>
          <w:szCs w:val="24"/>
          <w:shd w:val="clear" w:color="auto" w:fill="auto"/>
          <w:lang w:val="en-GB" w:eastAsia="en-GB" w:bidi="en-GB"/>
        </w:rPr>
        <w:t xml:space="preserve">A: </w:t>
      </w:r>
      <w:r>
        <w:rPr>
          <w:b/>
          <w:bCs/>
          <w:color w:val="FFFFFF"/>
          <w:spacing w:val="0"/>
          <w:w w:val="100"/>
          <w:position w:val="0"/>
          <w:sz w:val="24"/>
          <w:szCs w:val="24"/>
          <w:shd w:val="clear" w:color="auto" w:fill="auto"/>
          <w:lang w:val="bg-BG" w:eastAsia="bg-BG" w:bidi="bg-BG"/>
        </w:rPr>
        <w:t>Информация за икономическия оператор</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z w:val="24"/>
          <w:szCs w:val="24"/>
          <w:shd w:val="clear" w:color="auto" w:fill="auto"/>
          <w:lang w:val="bg-BG" w:eastAsia="bg-BG" w:bidi="bg-BG"/>
        </w:rPr>
        <w:t>Име:</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Интернет адрес (уеб адрес) (ако е приложимо):</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Лице или лица за контакт:</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Идентификационен номер по ДДС, ако е приложимо:</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Ако не е приложимо, посочете друг национален идентификационен номер, ако се изисква и е приложимо.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микро-, малко или средно предприятие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Само в случай че поръчката е запазена: икономическият оператор защитено предприятие ли е или социално предприятие, или ще осигури изпълнението на поръчката в контекста на програми за създаване на защитени работни места?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Какъв е съответният процент работници с увреждания или в неравностойно положение?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се изисква, посочете по-специално към коя категория или категории работници с увреждания или в неравностойно положение спадат въпросните служители.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Ако е приложимо, посочете дали икономическият оператор е регистриран в официален списък на одобрени икономически оператори или дали има еквивалентен сертификат (напр. съгласно национална квалификационна система или система за предварително класиране)?</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24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numPr>
          <w:ilvl w:val="0"/>
          <w:numId w:val="1"/>
        </w:numPr>
        <w:shd w:val="clear" w:color="auto" w:fill="auto"/>
        <w:tabs>
          <w:tab w:pos="582" w:val="left"/>
        </w:tabs>
        <w:bidi w:val="0"/>
        <w:spacing w:before="0" w:after="220"/>
        <w:ind w:left="500" w:right="0" w:hanging="200"/>
        <w:jc w:val="left"/>
      </w:pPr>
      <w:r>
        <w:rPr>
          <w:color w:val="000000"/>
          <w:spacing w:val="0"/>
          <w:w w:val="100"/>
          <w:position w:val="0"/>
          <w:sz w:val="24"/>
          <w:szCs w:val="24"/>
          <w:shd w:val="clear" w:color="auto" w:fill="auto"/>
          <w:lang w:val="bg-BG" w:eastAsia="bg-BG" w:bidi="bg-BG"/>
        </w:rPr>
        <w:t xml:space="preserve">Отговорете на въпросите в останалите части от този раздел, в раздел Б и когато е приложимо — в раздел В от тази част; попълнете част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 xml:space="preserve">когато е приложимо, и при всички случаи попълнете и подпишете част </w:t>
      </w:r>
      <w:r>
        <w:rPr>
          <w:color w:val="000000"/>
          <w:spacing w:val="0"/>
          <w:w w:val="100"/>
          <w:position w:val="0"/>
          <w:sz w:val="24"/>
          <w:szCs w:val="24"/>
          <w:shd w:val="clear" w:color="auto" w:fill="auto"/>
          <w:lang w:val="en-GB" w:eastAsia="en-GB" w:bidi="en-GB"/>
        </w:rPr>
        <w:t>VI.</w:t>
      </w:r>
    </w:p>
    <w:p>
      <w:pPr>
        <w:pStyle w:val="Style11"/>
        <w:keepNext w:val="0"/>
        <w:keepLines w:val="0"/>
        <w:widowControl w:val="0"/>
        <w:shd w:val="clear" w:color="auto" w:fill="auto"/>
        <w:tabs>
          <w:tab w:pos="474"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наименованието на списъка или сертификата и съответния регистрационен или сертификационен номер, ако е приложимо:</w:t>
      </w:r>
    </w:p>
    <w:p>
      <w:pPr>
        <w:pStyle w:val="Style11"/>
        <w:keepNext w:val="0"/>
        <w:keepLines w:val="0"/>
        <w:widowControl w:val="0"/>
        <w:shd w:val="clear" w:color="auto" w:fill="auto"/>
        <w:tabs>
          <w:tab w:pos="478" w:val="left"/>
        </w:tabs>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б)</w:t>
        <w:tab/>
        <w:t>Ако удостоверението за регистрация или сертифициране е налично в електронен формат, посочете:</w:t>
      </w:r>
    </w:p>
    <w:p>
      <w:pPr>
        <w:pStyle w:val="Style11"/>
        <w:keepNext w:val="0"/>
        <w:keepLines w:val="0"/>
        <w:widowControl w:val="0"/>
        <w:shd w:val="clear" w:color="auto" w:fill="auto"/>
        <w:tabs>
          <w:tab w:pos="459"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в)</w:t>
        <w:tab/>
        <w:t>Посочете препратки към документите, от които става ясно на какво се основава регистрацията или сертифицирането, и ако е приложимо — класификацията в официалния списък:</w:t>
      </w:r>
    </w:p>
    <w:p>
      <w:pPr>
        <w:pStyle w:val="Style11"/>
        <w:keepNext w:val="0"/>
        <w:keepLines w:val="0"/>
        <w:widowControl w:val="0"/>
        <w:shd w:val="clear" w:color="auto" w:fill="auto"/>
        <w:tabs>
          <w:tab w:pos="435"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г)</w:t>
        <w:tab/>
        <w:t>Регистрацията или сертифицирането обхваща ли всички задължителни критерии за подбор?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numPr>
          <w:ilvl w:val="0"/>
          <w:numId w:val="1"/>
        </w:numPr>
        <w:shd w:val="clear" w:color="auto" w:fill="auto"/>
        <w:tabs>
          <w:tab w:pos="582" w:val="left"/>
        </w:tabs>
        <w:bidi w:val="0"/>
        <w:spacing w:before="0" w:after="220"/>
        <w:ind w:left="500" w:right="0" w:hanging="200"/>
        <w:jc w:val="both"/>
      </w:pPr>
      <w:r>
        <w:rPr>
          <w:color w:val="000000"/>
          <w:spacing w:val="0"/>
          <w:w w:val="100"/>
          <w:position w:val="0"/>
          <w:sz w:val="24"/>
          <w:szCs w:val="24"/>
          <w:shd w:val="clear" w:color="auto" w:fill="auto"/>
          <w:lang w:val="bg-BG" w:eastAsia="bg-BG" w:bidi="bg-BG"/>
        </w:rPr>
        <w:t>Попълнете също така липсващата информация в част IV, раздели А, Б, В или Г според случая САМО ако това се изисква в съответното обявление или в документацията за обществената поръчка</w:t>
      </w:r>
    </w:p>
    <w:p>
      <w:pPr>
        <w:pStyle w:val="Style11"/>
        <w:keepNext w:val="0"/>
        <w:keepLines w:val="0"/>
        <w:widowControl w:val="0"/>
        <w:shd w:val="clear" w:color="auto" w:fill="auto"/>
        <w:tabs>
          <w:tab w:pos="502"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д)</w:t>
        <w:tab/>
        <w:t>Икономическият оператор може ли да представи удостоверение за платени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 съответната държава членка?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Ако съответната документация е достъпна в електронен формат, посочете: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участва ли в процедурата за възлагане на обществена поръчка заедно с други икономически оператори?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20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20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Уверете се, че останалите участващи оператори представят отделен ЕЕДОП.</w:t>
      </w:r>
    </w:p>
    <w:p>
      <w:pPr>
        <w:pStyle w:val="Style11"/>
        <w:keepNext w:val="0"/>
        <w:keepLines w:val="0"/>
        <w:widowControl w:val="0"/>
        <w:shd w:val="clear" w:color="auto" w:fill="auto"/>
        <w:tabs>
          <w:tab w:pos="474" w:val="left"/>
        </w:tabs>
        <w:bidi w:val="0"/>
        <w:spacing w:before="0" w:after="340"/>
        <w:ind w:left="0" w:right="0" w:firstLine="0"/>
        <w:jc w:val="both"/>
      </w:pPr>
      <w:r>
        <w:rPr>
          <w:b/>
          <w:bCs/>
          <w:color w:val="000000"/>
          <w:spacing w:val="0"/>
          <w:w w:val="100"/>
          <w:position w:val="0"/>
          <w:sz w:val="24"/>
          <w:szCs w:val="24"/>
          <w:shd w:val="clear" w:color="auto" w:fill="auto"/>
          <w:lang w:val="bg-BG" w:eastAsia="bg-BG" w:bidi="bg-BG"/>
        </w:rPr>
        <w:t>а)</w:t>
        <w:tab/>
        <w:t>Посочете ролята на икономическия оператор в групата (ръководител на групата, отговорник за конкретни задачи...):</w:t>
      </w:r>
    </w:p>
    <w:p>
      <w:pPr>
        <w:pStyle w:val="Style11"/>
        <w:keepNext w:val="0"/>
        <w:keepLines w:val="0"/>
        <w:widowControl w:val="0"/>
        <w:shd w:val="clear" w:color="auto" w:fill="auto"/>
        <w:tabs>
          <w:tab w:pos="478" w:val="left"/>
        </w:tabs>
        <w:bidi w:val="0"/>
        <w:spacing w:before="0" w:after="340"/>
        <w:ind w:left="0" w:right="0" w:firstLine="0"/>
        <w:jc w:val="both"/>
      </w:pPr>
      <w:r>
        <w:rPr>
          <w:b/>
          <w:bCs/>
          <w:color w:val="000000"/>
          <w:spacing w:val="0"/>
          <w:w w:val="100"/>
          <w:position w:val="0"/>
          <w:sz w:val="24"/>
          <w:szCs w:val="24"/>
          <w:shd w:val="clear" w:color="auto" w:fill="auto"/>
          <w:lang w:val="bg-BG" w:eastAsia="bg-BG" w:bidi="bg-BG"/>
        </w:rPr>
        <w:t>б)</w:t>
        <w:tab/>
        <w:t>Посочете другите икономически оператори, които участват заедно в процедурата за възлагане на обществена поръчка:</w:t>
      </w:r>
    </w:p>
    <w:p>
      <w:pPr>
        <w:pStyle w:val="Style11"/>
        <w:keepNext w:val="0"/>
        <w:keepLines w:val="0"/>
        <w:widowControl w:val="0"/>
        <w:shd w:val="clear" w:color="auto" w:fill="auto"/>
        <w:tabs>
          <w:tab w:pos="459" w:val="left"/>
        </w:tabs>
        <w:bidi w:val="0"/>
        <w:spacing w:before="0" w:after="740"/>
        <w:ind w:left="0" w:right="0" w:firstLine="0"/>
        <w:jc w:val="both"/>
      </w:pPr>
      <w:r>
        <w:rPr>
          <w:b/>
          <w:bCs/>
          <w:color w:val="000000"/>
          <w:spacing w:val="0"/>
          <w:w w:val="100"/>
          <w:position w:val="0"/>
          <w:sz w:val="24"/>
          <w:szCs w:val="24"/>
          <w:shd w:val="clear" w:color="auto" w:fill="auto"/>
          <w:lang w:val="bg-BG" w:eastAsia="bg-BG" w:bidi="bg-BG"/>
        </w:rPr>
        <w:t>в)</w:t>
        <w:tab/>
        <w:t>Когато е приложимо, посочете името на участващата група:</w:t>
      </w:r>
    </w:p>
    <w:p>
      <w:pPr>
        <w:pStyle w:val="Style11"/>
        <w:keepNext w:val="0"/>
        <w:keepLines w:val="0"/>
        <w:widowControl w:val="0"/>
        <w:shd w:val="clear" w:color="auto" w:fill="auto"/>
        <w:bidi w:val="0"/>
        <w:spacing w:before="0" w:after="1180" w:line="331" w:lineRule="auto"/>
        <w:ind w:left="0" w:right="0" w:firstLine="0"/>
        <w:jc w:val="both"/>
      </w:pPr>
      <w:r>
        <w:rPr>
          <w:b/>
          <w:bCs/>
          <w:color w:val="000000"/>
          <w:spacing w:val="0"/>
          <w:w w:val="100"/>
          <w:position w:val="0"/>
          <w:sz w:val="24"/>
          <w:szCs w:val="24"/>
          <w:shd w:val="clear" w:color="auto" w:fill="auto"/>
          <w:lang w:val="bg-BG" w:eastAsia="bg-BG" w:bidi="bg-BG"/>
        </w:rPr>
        <w:t>Когато е приложимо, посочете съответната обособена позиция или позиции, за която(които) икономическият оператор желае да направи оферта:</w:t>
      </w:r>
    </w:p>
    <w:p>
      <w:pPr>
        <w:pStyle w:val="Style11"/>
        <w:keepNext w:val="0"/>
        <w:keepLines w:val="0"/>
        <w:widowControl w:val="0"/>
        <w:shd w:val="clear" w:color="auto" w:fill="auto"/>
        <w:bidi w:val="0"/>
        <w:spacing w:before="0" w:after="480"/>
        <w:ind w:left="0" w:right="0" w:firstLine="0"/>
        <w:jc w:val="both"/>
      </w:pPr>
      <w:r>
        <w:rPr>
          <w:b/>
          <w:bCs/>
          <w:color w:val="000000"/>
          <w:spacing w:val="0"/>
          <w:w w:val="100"/>
          <w:position w:val="0"/>
          <w:sz w:val="24"/>
          <w:szCs w:val="24"/>
          <w:shd w:val="clear" w:color="auto" w:fill="auto"/>
          <w:lang w:val="bg-BG" w:eastAsia="bg-BG" w:bidi="bg-BG"/>
        </w:rPr>
        <w:t>Б: Информация за представителите на икономическия оператор #1</w:t>
      </w:r>
    </w:p>
    <w:p>
      <w:pPr>
        <w:pStyle w:val="Style11"/>
        <w:keepNext w:val="0"/>
        <w:keepLines w:val="0"/>
        <w:widowControl w:val="0"/>
        <w:shd w:val="clear" w:color="auto" w:fill="auto"/>
        <w:bidi w:val="0"/>
        <w:spacing w:before="0" w:after="20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Ако е приложимо, посочете името и адреса на лицето или лицата, упълномощени да представляват икономическия оператор за целите на настоящата процедура за възлагане на обществена поръчка: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Собствено име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Фамилно име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Дата на раждане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Място на раждане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Длъжност/Действащ в качеството си на:</w:t>
      </w:r>
    </w:p>
    <w:p>
      <w:pPr>
        <w:pStyle w:val="Style11"/>
        <w:keepNext w:val="0"/>
        <w:keepLines w:val="0"/>
        <w:widowControl w:val="0"/>
        <w:shd w:val="clear" w:color="auto" w:fill="auto"/>
        <w:bidi w:val="0"/>
        <w:spacing w:before="0" w:after="692"/>
        <w:ind w:left="0" w:right="0" w:firstLine="0"/>
        <w:jc w:val="left"/>
      </w:pPr>
      <w:r>
        <w:rPr>
          <w:b/>
          <w:bCs/>
          <w:color w:val="000000"/>
          <w:spacing w:val="0"/>
          <w:w w:val="100"/>
          <w:position w:val="0"/>
          <w:sz w:val="24"/>
          <w:szCs w:val="24"/>
          <w:shd w:val="clear" w:color="auto" w:fill="auto"/>
          <w:lang w:val="bg-BG" w:eastAsia="bg-BG" w:bidi="bg-BG"/>
        </w:rPr>
        <w:t>Ако е необходимо, посочете подробна информация за представителството (форми, обхват, цел...):</w:t>
      </w:r>
    </w:p>
    <w:p>
      <w:pPr>
        <w:pStyle w:val="Style11"/>
        <w:keepNext w:val="0"/>
        <w:keepLines w:val="0"/>
        <w:widowControl w:val="0"/>
        <w:pBdr>
          <w:top w:val="single" w:sz="0" w:space="2"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Информация относно използването на капацитета на други субекти</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 xml:space="preserve">Икономическият оператор ще използва ли капацитета на други субекти, за да изпълни критериите за подбор, посочени в част </w:t>
      </w:r>
      <w:r>
        <w:rPr>
          <w:b/>
          <w:bCs/>
          <w:color w:val="000000"/>
          <w:spacing w:val="0"/>
          <w:w w:val="100"/>
          <w:position w:val="0"/>
          <w:sz w:val="24"/>
          <w:szCs w:val="24"/>
          <w:shd w:val="clear" w:color="auto" w:fill="auto"/>
          <w:lang w:val="en-GB" w:eastAsia="en-GB" w:bidi="en-GB"/>
        </w:rPr>
        <w:t xml:space="preserve">IV, </w:t>
      </w:r>
      <w:r>
        <w:rPr>
          <w:b/>
          <w:bCs/>
          <w:color w:val="000000"/>
          <w:spacing w:val="0"/>
          <w:w w:val="100"/>
          <w:position w:val="0"/>
          <w:sz w:val="24"/>
          <w:szCs w:val="24"/>
          <w:shd w:val="clear" w:color="auto" w:fill="auto"/>
          <w:lang w:val="bg-BG" w:eastAsia="bg-BG" w:bidi="bg-BG"/>
        </w:rPr>
        <w:t xml:space="preserve">и критериите и правилата (ако има такива), посочени в част </w:t>
      </w:r>
      <w:r>
        <w:rPr>
          <w:b/>
          <w:bCs/>
          <w:color w:val="000000"/>
          <w:spacing w:val="0"/>
          <w:w w:val="100"/>
          <w:position w:val="0"/>
          <w:sz w:val="24"/>
          <w:szCs w:val="24"/>
          <w:shd w:val="clear" w:color="auto" w:fill="auto"/>
          <w:lang w:val="en-GB" w:eastAsia="en-GB" w:bidi="en-GB"/>
        </w:rPr>
        <w:t xml:space="preserve">V </w:t>
      </w:r>
      <w:r>
        <w:rPr>
          <w:b/>
          <w:bCs/>
          <w:color w:val="000000"/>
          <w:spacing w:val="0"/>
          <w:w w:val="100"/>
          <w:position w:val="0"/>
          <w:sz w:val="24"/>
          <w:szCs w:val="24"/>
          <w:shd w:val="clear" w:color="auto" w:fill="auto"/>
          <w:lang w:val="bg-BG" w:eastAsia="bg-BG" w:bidi="bg-BG"/>
        </w:rPr>
        <w:t xml:space="preserve">по-долу? </w:t>
      </w: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Представете отделно за всеки от съответните субекти надлежно попълнен и подписан от тях ЕЕДОП, в който се посочва информацията, изисквана в раздели А и Б от настоящата част и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икономическият оператор може да използва за извършване на строителството.</w:t>
      </w:r>
    </w:p>
    <w:p>
      <w:pPr>
        <w:pStyle w:val="Style11"/>
        <w:keepNext w:val="0"/>
        <w:keepLines w:val="0"/>
        <w:widowControl w:val="0"/>
        <w:shd w:val="clear" w:color="auto" w:fill="auto"/>
        <w:bidi w:val="0"/>
        <w:spacing w:before="0" w:after="321"/>
        <w:ind w:left="500" w:right="0" w:firstLine="0"/>
        <w:jc w:val="left"/>
      </w:pPr>
      <w:r>
        <w:rPr>
          <w:color w:val="000000"/>
          <w:spacing w:val="0"/>
          <w:w w:val="100"/>
          <w:position w:val="0"/>
          <w:sz w:val="24"/>
          <w:szCs w:val="24"/>
          <w:shd w:val="clear" w:color="auto" w:fill="auto"/>
          <w:lang w:val="bg-BG" w:eastAsia="bg-BG" w:bidi="bg-BG"/>
        </w:rPr>
        <w:t xml:space="preserve">Посочете информацията съгласно части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и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за всеки от съответните субекти, доколкото тя има отношение към специфичния капацитет, който икономическият оператор ще използва.</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191" w:line="334" w:lineRule="auto"/>
        <w:ind w:left="0" w:right="0" w:firstLine="0"/>
        <w:jc w:val="left"/>
      </w:pPr>
      <w:bookmarkStart w:id="6" w:name="bookmark6"/>
      <w:bookmarkStart w:id="7" w:name="bookmark7"/>
      <w:r>
        <w:rPr>
          <w:color w:val="FFFFFF"/>
          <w:spacing w:val="0"/>
          <w:w w:val="100"/>
          <w:position w:val="0"/>
          <w:sz w:val="24"/>
          <w:szCs w:val="24"/>
          <w:shd w:val="clear" w:color="auto" w:fill="auto"/>
          <w:lang w:val="bg-BG" w:eastAsia="bg-BG" w:bidi="bg-BG"/>
        </w:rPr>
        <w:t>Г: Информация за подизпълнители, чийто капацитет икономическият оператор няма да използва</w:t>
      </w:r>
      <w:bookmarkEnd w:id="6"/>
      <w:bookmarkEnd w:id="7"/>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(Разделът се попълва само ако тази информация се изисква изрично от възлагащия орган или възложителя.)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възнамерява ли да възложи на трети страни изпълнението на част от поръчката?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600"/>
        <w:ind w:left="0" w:right="0" w:firstLine="0"/>
        <w:jc w:val="left"/>
      </w:pPr>
      <w:r>
        <w:rPr>
          <w:b/>
          <w:bCs/>
          <w:color w:val="000000"/>
          <w:spacing w:val="0"/>
          <w:w w:val="100"/>
          <w:position w:val="0"/>
          <w:sz w:val="24"/>
          <w:szCs w:val="24"/>
          <w:shd w:val="clear" w:color="auto" w:fill="auto"/>
          <w:lang w:val="bg-BG" w:eastAsia="bg-BG" w:bidi="bg-BG"/>
        </w:rPr>
        <w:t>Ако да и доколкото е известно, приложете списък на предлаганите подизпълнители:</w:t>
      </w:r>
    </w:p>
    <w:p>
      <w:pPr>
        <w:pStyle w:val="Style11"/>
        <w:keepNext w:val="0"/>
        <w:keepLines w:val="0"/>
        <w:widowControl w:val="0"/>
        <w:shd w:val="clear" w:color="auto" w:fill="auto"/>
        <w:bidi w:val="0"/>
        <w:spacing w:before="0" w:after="16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Ако възлагащият орган или възложителят изрично изисква тази информация в допълнение към информацията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предоставете информацията, изисквана съгласно раздели А и Б от настоящата част и част III, за всеки подизпълнител/за всяка от съответните категории подизпълнители.</w:t>
      </w:r>
    </w:p>
    <w:p>
      <w:pPr>
        <w:pStyle w:val="Style15"/>
        <w:keepNext/>
        <w:keepLines/>
        <w:widowControl w:val="0"/>
        <w:shd w:val="clear" w:color="auto" w:fill="auto"/>
        <w:bidi w:val="0"/>
        <w:spacing w:before="0" w:after="642" w:line="240" w:lineRule="auto"/>
        <w:ind w:left="0" w:right="0" w:firstLine="0"/>
        <w:jc w:val="left"/>
      </w:pPr>
      <w:bookmarkStart w:id="8" w:name="bookmark8"/>
      <w:bookmarkStart w:id="9" w:name="bookmark9"/>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III: </w:t>
      </w:r>
      <w:r>
        <w:rPr>
          <w:color w:val="000000"/>
          <w:spacing w:val="0"/>
          <w:w w:val="100"/>
          <w:position w:val="0"/>
          <w:shd w:val="clear" w:color="auto" w:fill="auto"/>
          <w:lang w:val="bg-BG" w:eastAsia="bg-BG" w:bidi="bg-BG"/>
        </w:rPr>
        <w:t>Основания за изключване</w:t>
      </w:r>
      <w:bookmarkEnd w:id="8"/>
      <w:bookmarkEnd w:id="9"/>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left"/>
      </w:pPr>
      <w:r>
        <w:rPr>
          <w:b/>
          <w:bCs/>
          <w:color w:val="FFFFFF"/>
          <w:spacing w:val="0"/>
          <w:w w:val="100"/>
          <w:position w:val="0"/>
          <w:sz w:val="24"/>
          <w:szCs w:val="24"/>
          <w:shd w:val="clear" w:color="auto" w:fill="auto"/>
          <w:lang w:val="bg-BG" w:eastAsia="bg-BG" w:bidi="bg-BG"/>
        </w:rPr>
        <w:t>А: Основания, свързани с наказателни присъди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1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Участие в престъпна организация</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Рамково решение 2008/841/ПВР на Съвета от 24 октомври 2008 г. относно борбата с организираната престъпност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300, 11.11.2008 г., стр. 42).</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460" w:line="24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0" w:name="bookmark10"/>
      <w:bookmarkStart w:id="11" w:name="bookmark11"/>
      <w:r>
        <w:rPr>
          <w:color w:val="000000"/>
          <w:spacing w:val="0"/>
          <w:w w:val="100"/>
          <w:position w:val="0"/>
          <w:sz w:val="24"/>
          <w:szCs w:val="24"/>
          <w:shd w:val="clear" w:color="auto" w:fill="auto"/>
          <w:lang w:val="bg-BG" w:eastAsia="bg-BG" w:bidi="bg-BG"/>
        </w:rPr>
        <w:t>Корупция</w:t>
      </w:r>
      <w:bookmarkEnd w:id="10"/>
      <w:bookmarkEnd w:id="11"/>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192, 31.7.2003 г., стр.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5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41" w:lineRule="auto"/>
        <w:ind w:left="0" w:right="0" w:firstLine="0"/>
        <w:jc w:val="left"/>
      </w:pPr>
      <w:bookmarkStart w:id="12" w:name="bookmark12"/>
      <w:bookmarkStart w:id="13" w:name="bookmark13"/>
      <w:r>
        <w:rPr>
          <w:color w:val="000000"/>
          <w:spacing w:val="0"/>
          <w:w w:val="100"/>
          <w:position w:val="0"/>
          <w:sz w:val="24"/>
          <w:szCs w:val="24"/>
          <w:shd w:val="clear" w:color="auto" w:fill="auto"/>
          <w:lang w:val="bg-BG" w:eastAsia="bg-BG" w:bidi="bg-BG"/>
        </w:rPr>
        <w:t>Измама</w:t>
      </w:r>
      <w:bookmarkEnd w:id="12"/>
      <w:bookmarkEnd w:id="13"/>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По смисъла на член 1 от Конвенцията за защита на финансовите интереси на Европейските общности (ОВ </w:t>
      </w:r>
      <w:r>
        <w:rPr>
          <w:color w:val="000000"/>
          <w:spacing w:val="0"/>
          <w:w w:val="100"/>
          <w:position w:val="0"/>
          <w:sz w:val="24"/>
          <w:szCs w:val="24"/>
          <w:shd w:val="clear" w:color="auto" w:fill="auto"/>
          <w:lang w:val="en-GB" w:eastAsia="en-GB" w:bidi="en-GB"/>
        </w:rPr>
        <w:t xml:space="preserve">C </w:t>
      </w:r>
      <w:r>
        <w:rPr>
          <w:color w:val="000000"/>
          <w:spacing w:val="0"/>
          <w:w w:val="100"/>
          <w:position w:val="0"/>
          <w:sz w:val="24"/>
          <w:szCs w:val="24"/>
          <w:shd w:val="clear" w:color="auto" w:fill="auto"/>
          <w:lang w:val="bg-BG" w:eastAsia="bg-BG" w:bidi="bg-BG"/>
        </w:rPr>
        <w:t>316, 27.11.1995 г., стр. 48). Отговор:</w:t>
      </w:r>
    </w:p>
    <w:p>
      <w:pPr>
        <w:pStyle w:val="Style11"/>
        <w:keepNext w:val="0"/>
        <w:keepLines w:val="0"/>
        <w:widowControl w:val="0"/>
        <w:shd w:val="clear" w:color="auto" w:fill="auto"/>
        <w:bidi w:val="0"/>
        <w:spacing w:before="0" w:after="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2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4" w:name="bookmark14"/>
      <w:bookmarkStart w:id="15" w:name="bookmark15"/>
      <w:r>
        <w:rPr>
          <w:color w:val="000000"/>
          <w:spacing w:val="0"/>
          <w:w w:val="100"/>
          <w:position w:val="0"/>
          <w:sz w:val="24"/>
          <w:szCs w:val="24"/>
          <w:shd w:val="clear" w:color="auto" w:fill="auto"/>
          <w:lang w:val="bg-BG" w:eastAsia="bg-BG" w:bidi="bg-BG"/>
        </w:rPr>
        <w:t>Терористични престъпления или престъпления, които са свързани с терористични дейности</w:t>
      </w:r>
      <w:bookmarkEnd w:id="14"/>
      <w:bookmarkEnd w:id="15"/>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w:t>
      </w:r>
      <w:r>
        <w:rPr>
          <w:color w:val="000000"/>
          <w:spacing w:val="0"/>
          <w:w w:val="100"/>
          <w:position w:val="0"/>
          <w:sz w:val="24"/>
          <w:szCs w:val="24"/>
          <w:shd w:val="clear" w:color="auto" w:fill="auto"/>
          <w:lang w:val="bg-BG" w:eastAsia="bg-BG" w:bidi="bg-BG"/>
        </w:rPr>
        <w:t xml:space="preserve">членове 1 и 3 от Рамково решение на Съвета от 13 юни 2002 г. относно борба с тероризма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6" w:name="bookmark16"/>
      <w:bookmarkStart w:id="17" w:name="bookmark17"/>
      <w:r>
        <w:rPr>
          <w:color w:val="000000"/>
          <w:spacing w:val="0"/>
          <w:w w:val="100"/>
          <w:position w:val="0"/>
          <w:sz w:val="24"/>
          <w:szCs w:val="24"/>
          <w:shd w:val="clear" w:color="auto" w:fill="auto"/>
          <w:lang w:val="bg-BG" w:eastAsia="bg-BG" w:bidi="bg-BG"/>
        </w:rPr>
        <w:t>Изпиране на пари или финансиране на тероризъм</w:t>
      </w:r>
      <w:bookmarkEnd w:id="16"/>
      <w:bookmarkEnd w:id="17"/>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309, 25.11.2005 г., стр. 15).</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32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8" w:name="bookmark18"/>
      <w:bookmarkStart w:id="19" w:name="bookmark19"/>
      <w:r>
        <w:rPr>
          <w:color w:val="000000"/>
          <w:spacing w:val="0"/>
          <w:w w:val="100"/>
          <w:position w:val="0"/>
          <w:sz w:val="24"/>
          <w:szCs w:val="24"/>
          <w:shd w:val="clear" w:color="auto" w:fill="auto"/>
          <w:lang w:val="bg-BG" w:eastAsia="bg-BG" w:bidi="bg-BG"/>
        </w:rPr>
        <w:t>Детски труд и други форми на трафик на хора</w:t>
      </w:r>
      <w:bookmarkEnd w:id="18"/>
      <w:bookmarkEnd w:id="19"/>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 ПВР на Съвета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101, 15.4.2011 г., стр. 1).</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1"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291"/>
        <w:ind w:left="0" w:right="0" w:firstLine="0"/>
        <w:jc w:val="left"/>
      </w:pPr>
      <w:r>
        <w:rPr>
          <w:b/>
          <w:bCs/>
          <w:color w:val="FFFFFF"/>
          <w:spacing w:val="0"/>
          <w:w w:val="100"/>
          <w:position w:val="0"/>
          <w:sz w:val="24"/>
          <w:szCs w:val="24"/>
          <w:shd w:val="clear" w:color="auto" w:fill="auto"/>
          <w:lang w:val="bg-BG" w:eastAsia="bg-BG" w:bidi="bg-BG"/>
        </w:rPr>
        <w:t>Б: Основания, свързани с плащането на данъци или социалноосигурителни вноски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2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Плащане на данъци</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данъци, както в страната, в която е установен, така и в държавата членка на възлагащия орган или възложителя, ако е различна от държавата на установяване?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0" w:name="bookmark20"/>
      <w:bookmarkStart w:id="21" w:name="bookmark21"/>
      <w:r>
        <w:rPr>
          <w:color w:val="000000"/>
          <w:spacing w:val="0"/>
          <w:w w:val="100"/>
          <w:position w:val="0"/>
          <w:sz w:val="24"/>
          <w:szCs w:val="24"/>
          <w:shd w:val="clear" w:color="auto" w:fill="auto"/>
          <w:lang w:val="bg-BG" w:eastAsia="bg-BG" w:bidi="bg-BG"/>
        </w:rPr>
        <w:t>Размер на съответната сума</w:t>
      </w:r>
      <w:bookmarkEnd w:id="20"/>
      <w:bookmarkEnd w:id="21"/>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40" w:line="331" w:lineRule="auto"/>
        <w:ind w:left="0" w:right="0" w:firstLine="0"/>
        <w:jc w:val="left"/>
      </w:pPr>
      <w:bookmarkStart w:id="22" w:name="bookmark22"/>
      <w:bookmarkStart w:id="23" w:name="bookmark23"/>
      <w:r>
        <w:rPr>
          <w:color w:val="000000"/>
          <w:spacing w:val="0"/>
          <w:w w:val="100"/>
          <w:position w:val="0"/>
          <w:sz w:val="24"/>
          <w:szCs w:val="24"/>
          <w:shd w:val="clear" w:color="auto" w:fill="auto"/>
          <w:lang w:val="bg-BG" w:eastAsia="bg-BG" w:bidi="bg-BG"/>
        </w:rPr>
        <w:t>Опишете използваните средства.</w:t>
      </w:r>
      <w:bookmarkEnd w:id="22"/>
      <w:bookmarkEnd w:id="23"/>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Не</w:t>
      </w:r>
    </w:p>
    <w:p>
      <w:pPr>
        <w:pStyle w:val="Style8"/>
        <w:keepNext/>
        <w:keepLines/>
        <w:widowControl w:val="0"/>
        <w:shd w:val="clear" w:color="auto" w:fill="auto"/>
        <w:bidi w:val="0"/>
        <w:spacing w:before="0" w:after="800" w:line="240" w:lineRule="auto"/>
        <w:ind w:left="0" w:right="0" w:firstLine="0"/>
        <w:jc w:val="left"/>
      </w:pPr>
      <w:bookmarkStart w:id="24" w:name="bookmark24"/>
      <w:bookmarkStart w:id="25" w:name="bookmark25"/>
      <w:r>
        <w:rPr>
          <w:color w:val="000000"/>
          <w:spacing w:val="0"/>
          <w:w w:val="100"/>
          <w:position w:val="0"/>
          <w:sz w:val="24"/>
          <w:szCs w:val="24"/>
          <w:shd w:val="clear" w:color="auto" w:fill="auto"/>
          <w:lang w:val="bg-BG" w:eastAsia="bg-BG" w:bidi="bg-BG"/>
        </w:rPr>
        <w:t>Моля, опишете подробно</w:t>
      </w:r>
      <w:bookmarkEnd w:id="24"/>
      <w:bookmarkEnd w:id="25"/>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26" w:name="bookmark26"/>
      <w:bookmarkStart w:id="27" w:name="bookmark27"/>
      <w:r>
        <w:rPr>
          <w:color w:val="000000"/>
          <w:spacing w:val="0"/>
          <w:w w:val="100"/>
          <w:position w:val="0"/>
          <w:sz w:val="24"/>
          <w:szCs w:val="24"/>
          <w:shd w:val="clear" w:color="auto" w:fill="auto"/>
          <w:lang w:val="bg-BG" w:eastAsia="bg-BG" w:bidi="bg-BG"/>
        </w:rPr>
        <w:t>Плащане на социалноосигурителни вноски</w:t>
      </w:r>
      <w:bookmarkEnd w:id="26"/>
      <w:bookmarkEnd w:id="27"/>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социалноосигурителни вноски, както в страната, в която 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8" w:name="bookmark28"/>
      <w:bookmarkStart w:id="29" w:name="bookmark29"/>
      <w:r>
        <w:rPr>
          <w:color w:val="000000"/>
          <w:spacing w:val="0"/>
          <w:w w:val="100"/>
          <w:position w:val="0"/>
          <w:sz w:val="24"/>
          <w:szCs w:val="24"/>
          <w:shd w:val="clear" w:color="auto" w:fill="auto"/>
          <w:lang w:val="bg-BG" w:eastAsia="bg-BG" w:bidi="bg-BG"/>
        </w:rPr>
        <w:t>Размер на съответната сума</w:t>
      </w:r>
      <w:bookmarkEnd w:id="28"/>
      <w:bookmarkEnd w:id="29"/>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2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20"/>
        <w:ind w:left="0" w:right="0" w:firstLine="0"/>
        <w:jc w:val="left"/>
      </w:pPr>
      <w:bookmarkStart w:id="30" w:name="bookmark30"/>
      <w:bookmarkStart w:id="31" w:name="bookmark31"/>
      <w:r>
        <w:rPr>
          <w:color w:val="000000"/>
          <w:spacing w:val="0"/>
          <w:w w:val="100"/>
          <w:position w:val="0"/>
          <w:sz w:val="24"/>
          <w:szCs w:val="24"/>
          <w:shd w:val="clear" w:color="auto" w:fill="auto"/>
          <w:lang w:val="bg-BG" w:eastAsia="bg-BG" w:bidi="bg-BG"/>
        </w:rPr>
        <w:t>Опишете използваните средства.</w:t>
      </w:r>
      <w:bookmarkEnd w:id="30"/>
      <w:bookmarkEnd w:id="31"/>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6"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В: Основания, свързани с несъстоятелност, конфликти на интереси или професионално нарушение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В член 57, параграф 4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екологичното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екологичното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320" w:line="343"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социалното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социалното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трудовото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трудовото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Несъстоятелност</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обявен ли е в несъстоятелност?</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Производство по несъстоятелност</w:t>
      </w:r>
    </w:p>
    <w:p>
      <w:pPr>
        <w:pStyle w:val="Style11"/>
        <w:keepNext w:val="0"/>
        <w:keepLines w:val="0"/>
        <w:widowControl w:val="0"/>
        <w:shd w:val="clear" w:color="auto" w:fill="auto"/>
        <w:bidi w:val="0"/>
        <w:spacing w:before="0" w:after="60"/>
        <w:ind w:left="0" w:right="0" w:firstLine="0"/>
        <w:jc w:val="both"/>
      </w:pPr>
      <w:r>
        <w:rPr>
          <w:color w:val="000000"/>
          <w:spacing w:val="0"/>
          <w:w w:val="100"/>
          <w:position w:val="0"/>
          <w:sz w:val="24"/>
          <w:szCs w:val="24"/>
          <w:shd w:val="clear" w:color="auto" w:fill="auto"/>
          <w:lang w:val="bg-BG" w:eastAsia="bg-BG" w:bidi="bg-BG"/>
        </w:rPr>
        <w:t>Икономическият оператор предмет ли е на производство по несъстоятелност или ликвидация?</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Споразумение с кредиторите</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Има ли икономическият оператор споразумение с кредиторите?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34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Аналогична на несъстоятелност ситуация съгласно националното законодателство</w:t>
      </w:r>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Намира ли се икономическият оператор в аналогична на несъстоятелност ситуация, възникваща от сходна процедура съгласно националните законови и подзаконови актове?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Управляване на активите от ликвидатор</w:t>
      </w:r>
    </w:p>
    <w:p>
      <w:pPr>
        <w:pStyle w:val="Style11"/>
        <w:keepNext w:val="0"/>
        <w:keepLines w:val="0"/>
        <w:widowControl w:val="0"/>
        <w:shd w:val="clear" w:color="auto" w:fill="auto"/>
        <w:bidi w:val="0"/>
        <w:spacing w:before="0" w:after="40" w:line="334" w:lineRule="auto"/>
        <w:ind w:left="0" w:right="0" w:firstLine="0"/>
        <w:jc w:val="left"/>
      </w:pPr>
      <w:r>
        <w:rPr>
          <w:color w:val="000000"/>
          <w:spacing w:val="0"/>
          <w:w w:val="100"/>
          <w:position w:val="0"/>
          <w:sz w:val="24"/>
          <w:szCs w:val="24"/>
          <w:shd w:val="clear" w:color="auto" w:fill="auto"/>
          <w:lang w:val="bg-BG" w:eastAsia="bg-BG" w:bidi="bg-BG"/>
        </w:rPr>
        <w:t>Активите на икономическия оператор управляват ли се от ликвидатор или от съда?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Прекратена стопанска дейност</w:t>
      </w:r>
    </w:p>
    <w:p>
      <w:pPr>
        <w:pStyle w:val="Style11"/>
        <w:keepNext w:val="0"/>
        <w:keepLines w:val="0"/>
        <w:widowControl w:val="0"/>
        <w:shd w:val="clear" w:color="auto" w:fill="auto"/>
        <w:bidi w:val="0"/>
        <w:spacing w:before="0" w:after="40" w:line="346" w:lineRule="auto"/>
        <w:ind w:left="0" w:right="0" w:firstLine="0"/>
        <w:jc w:val="left"/>
      </w:pPr>
      <w:r>
        <w:rPr>
          <w:color w:val="000000"/>
          <w:spacing w:val="0"/>
          <w:w w:val="100"/>
          <w:position w:val="0"/>
          <w:sz w:val="24"/>
          <w:szCs w:val="24"/>
          <w:shd w:val="clear" w:color="auto" w:fill="auto"/>
          <w:lang w:val="bg-BG" w:eastAsia="bg-BG" w:bidi="bg-BG"/>
        </w:rPr>
        <w:t>Стопанската дейност на икономическия оператор прекратена ли е?</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w:t>
      </w:r>
    </w:p>
    <w:p>
      <w:pPr>
        <w:pStyle w:val="Style8"/>
        <w:keepNext/>
        <w:keepLines/>
        <w:widowControl w:val="0"/>
        <w:shd w:val="clear" w:color="auto" w:fill="auto"/>
        <w:bidi w:val="0"/>
        <w:spacing w:before="0" w:after="720"/>
        <w:ind w:left="0" w:right="0" w:firstLine="0"/>
        <w:jc w:val="left"/>
      </w:pPr>
      <w:bookmarkStart w:id="32" w:name="bookmark32"/>
      <w:bookmarkStart w:id="33" w:name="bookmark33"/>
      <w:r>
        <w:rPr>
          <w:color w:val="000000"/>
          <w:spacing w:val="0"/>
          <w:w w:val="100"/>
          <w:position w:val="0"/>
          <w:sz w:val="24"/>
          <w:szCs w:val="24"/>
          <w:shd w:val="clear" w:color="auto" w:fill="auto"/>
          <w:lang w:val="bg-BG" w:eastAsia="bg-BG" w:bidi="bg-BG"/>
        </w:rPr>
        <w:t>национално право без каквато и да е възможност за дерогация дори ако икономическият оператор е в състояние да изпълни поръчката.</w:t>
      </w:r>
      <w:bookmarkEnd w:id="32"/>
      <w:bookmarkEnd w:id="33"/>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z w:val="24"/>
          <w:szCs w:val="24"/>
          <w:shd w:val="clear" w:color="auto" w:fill="auto"/>
          <w:lang w:val="bg-BG" w:eastAsia="bg-BG" w:bidi="bg-BG"/>
        </w:rPr>
        <w:t>Споразумения с други икономически оператори за нарушаване на конкуренцията</w:t>
      </w:r>
      <w:bookmarkEnd w:id="34"/>
      <w:bookmarkEnd w:id="35"/>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сключил ли е споразумения с други икономически оператори, насочени към нарушаване на конкуренцията?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6" w:name="bookmark36"/>
      <w:bookmarkStart w:id="37" w:name="bookmark37"/>
      <w:r>
        <w:rPr>
          <w:color w:val="000000"/>
          <w:spacing w:val="0"/>
          <w:w w:val="100"/>
          <w:position w:val="0"/>
          <w:sz w:val="24"/>
          <w:szCs w:val="24"/>
          <w:shd w:val="clear" w:color="auto" w:fill="auto"/>
          <w:lang w:val="bg-BG" w:eastAsia="bg-BG" w:bidi="bg-BG"/>
        </w:rPr>
        <w:t>Тежко професионално нарушение</w:t>
      </w:r>
      <w:bookmarkEnd w:id="36"/>
      <w:bookmarkEnd w:id="37"/>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тежко професионално нарушение? Ако е приложимо, вж. определенията в националното законодателство,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8" w:name="bookmark38"/>
      <w:bookmarkStart w:id="39" w:name="bookmark39"/>
      <w:r>
        <w:rPr>
          <w:color w:val="000000"/>
          <w:spacing w:val="0"/>
          <w:w w:val="100"/>
          <w:position w:val="0"/>
          <w:sz w:val="24"/>
          <w:szCs w:val="24"/>
          <w:shd w:val="clear" w:color="auto" w:fill="auto"/>
          <w:lang w:val="bg-BG" w:eastAsia="bg-BG" w:bidi="bg-BG"/>
        </w:rPr>
        <w:t>Конфликт на интереси, свързан с участието в процедурата за възлагане на обществена поръчка</w:t>
      </w:r>
      <w:bookmarkEnd w:id="38"/>
      <w:bookmarkEnd w:id="39"/>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има ли информация за конфликт на интереси съгласно посоченото в националното законодателство, в обявлението или в документацията за обществената поръчка, свързан с участието му в процедурата за възлагане на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40" w:name="bookmark40"/>
      <w:bookmarkStart w:id="41" w:name="bookmark41"/>
      <w:r>
        <w:rPr>
          <w:color w:val="000000"/>
          <w:spacing w:val="0"/>
          <w:w w:val="100"/>
          <w:position w:val="0"/>
          <w:sz w:val="24"/>
          <w:szCs w:val="24"/>
          <w:shd w:val="clear" w:color="auto" w:fill="auto"/>
          <w:lang w:val="bg-BG" w:eastAsia="bg-BG" w:bidi="bg-BG"/>
        </w:rPr>
        <w:t>Пряко или косвено участие в подготовката на процедурата за възлагане на обществена поръчка</w:t>
      </w:r>
      <w:bookmarkEnd w:id="40"/>
      <w:bookmarkEnd w:id="41"/>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или свързано с него предприятие предоставяли ли са консултантски услуги на възлагащия орган или на възложителя, или участвали ли са по друг начин в подготовката на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42" w:name="bookmark42"/>
      <w:bookmarkStart w:id="43" w:name="bookmark43"/>
      <w:r>
        <w:rPr>
          <w:color w:val="000000"/>
          <w:spacing w:val="0"/>
          <w:w w:val="100"/>
          <w:position w:val="0"/>
          <w:sz w:val="24"/>
          <w:szCs w:val="24"/>
          <w:shd w:val="clear" w:color="auto" w:fill="auto"/>
          <w:lang w:val="bg-BG" w:eastAsia="bg-BG" w:bidi="bg-BG"/>
        </w:rPr>
        <w:t>Предсрочно прекратяване на договор и налагане на обезщетения или други подобни санкции</w:t>
      </w:r>
      <w:bookmarkEnd w:id="42"/>
      <w:bookmarkEnd w:id="43"/>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Отговор:</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някое от следните действия: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w:t>
        <w:tab/>
        <w:t>Виновен е за подаване на неверни данни при предоставянето на информацията, необходима за удостоверяване на липсата на основания за изключване или на изпълнението на критериите за подбор,</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б)</w:t>
        <w:tab/>
        <w:t>Укрил е такава информация,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в)</w:t>
        <w:tab/>
        <w:t>Не е могъл без забавяне да предостави съответните документи, изисквани от възлагащия оран или възложителя, и</w:t>
      </w:r>
    </w:p>
    <w:p>
      <w:pPr>
        <w:pStyle w:val="Style11"/>
        <w:keepNext w:val="0"/>
        <w:keepLines w:val="0"/>
        <w:widowControl w:val="0"/>
        <w:shd w:val="clear" w:color="auto" w:fill="auto"/>
        <w:tabs>
          <w:tab w:pos="440" w:val="left"/>
        </w:tabs>
        <w:bidi w:val="0"/>
        <w:spacing w:before="0" w:after="80" w:line="331" w:lineRule="auto"/>
        <w:ind w:left="0" w:right="0" w:firstLine="0"/>
        <w:jc w:val="left"/>
      </w:pPr>
      <w:r>
        <w:rPr>
          <w:color w:val="000000"/>
          <w:spacing w:val="0"/>
          <w:w w:val="100"/>
          <w:position w:val="0"/>
          <w:sz w:val="24"/>
          <w:szCs w:val="24"/>
          <w:shd w:val="clear" w:color="auto" w:fill="auto"/>
          <w:lang w:val="bg-BG" w:eastAsia="bg-BG" w:bidi="bg-BG"/>
        </w:rPr>
        <w:t>г)</w:t>
        <w:tab/>
        <w:t>Опитал се е да упражни непозволено влияние върху процеса на вземане на решения от възлагащия оран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07"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both"/>
      </w:pPr>
      <w:r>
        <w:rPr>
          <w:b/>
          <w:bCs/>
          <w:color w:val="FFFFFF"/>
          <w:spacing w:val="0"/>
          <w:w w:val="100"/>
          <w:position w:val="0"/>
          <w:sz w:val="24"/>
          <w:szCs w:val="24"/>
          <w:shd w:val="clear" w:color="auto" w:fill="auto"/>
          <w:lang w:val="bg-BG" w:eastAsia="bg-BG" w:bidi="bg-BG"/>
        </w:rPr>
        <w:t>Г: Специфични национални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Специфични национални основания за изключване</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 xml:space="preserve">Други основания за изключване, които може да бъдат предвидени в националното законодателство на държавата членка на възлагащия орган </w:t>
      </w:r>
      <w:r>
        <w:rPr>
          <w:color w:val="000000"/>
          <w:spacing w:val="0"/>
          <w:w w:val="100"/>
          <w:position w:val="0"/>
          <w:sz w:val="24"/>
          <w:szCs w:val="24"/>
          <w:shd w:val="clear" w:color="auto" w:fill="auto"/>
          <w:lang w:val="bg-BG" w:eastAsia="bg-BG" w:bidi="bg-BG"/>
        </w:rPr>
        <w:t>или възложителя. 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44" w:name="bookmark44"/>
      <w:bookmarkStart w:id="45" w:name="bookmark45"/>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IV: </w:t>
      </w:r>
      <w:r>
        <w:rPr>
          <w:color w:val="000000"/>
          <w:spacing w:val="0"/>
          <w:w w:val="100"/>
          <w:position w:val="0"/>
          <w:shd w:val="clear" w:color="auto" w:fill="auto"/>
          <w:lang w:val="bg-BG" w:eastAsia="bg-BG" w:bidi="bg-BG"/>
        </w:rPr>
        <w:t>Критерии за подбор</w:t>
      </w:r>
      <w:bookmarkEnd w:id="44"/>
      <w:bookmarkEnd w:id="45"/>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Г: Схеми за осигуряване на качеството и стандарти за екологично управление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В член 62, параграф 2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Сертификати от независими органи, удостоверяващи стандарти за осигуряване на качеството</w:t>
      </w:r>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0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20" w:line="331" w:lineRule="auto"/>
        <w:ind w:left="0" w:right="0" w:firstLine="0"/>
        <w:jc w:val="left"/>
      </w:pPr>
      <w:r>
        <w:rPr>
          <w:b/>
          <w:bCs/>
          <w:color w:val="000000"/>
          <w:spacing w:val="0"/>
          <w:w w:val="100"/>
          <w:position w:val="0"/>
          <w:sz w:val="24"/>
          <w:szCs w:val="24"/>
          <w:shd w:val="clear" w:color="auto" w:fill="auto"/>
          <w:lang w:val="bg-BG" w:eastAsia="bg-BG" w:bidi="bg-BG"/>
        </w:rPr>
        <w:t>Ако „не“, обяснете защо и посочете какви други доказателства относно схемата за осигуряване на качеството могат да бъдат представени:</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46" w:name="bookmark46"/>
      <w:bookmarkStart w:id="47" w:name="bookmark47"/>
      <w:r>
        <w:rPr>
          <w:color w:val="000000"/>
          <w:spacing w:val="0"/>
          <w:w w:val="100"/>
          <w:position w:val="0"/>
          <w:shd w:val="clear" w:color="auto" w:fill="auto"/>
          <w:lang w:val="bg-BG" w:eastAsia="bg-BG" w:bidi="bg-BG"/>
        </w:rPr>
        <w:t>Край</w:t>
      </w:r>
      <w:bookmarkEnd w:id="46"/>
      <w:bookmarkEnd w:id="47"/>
    </w:p>
    <w:p>
      <w:pPr>
        <w:pStyle w:val="Style8"/>
        <w:keepNext/>
        <w:keepLines/>
        <w:widowControl w:val="0"/>
        <w:pBdr>
          <w:top w:val="single" w:sz="0" w:space="1" w:color="0466A3"/>
          <w:left w:val="single" w:sz="0" w:space="0" w:color="0466A3"/>
          <w:bottom w:val="single" w:sz="0" w:space="4" w:color="0466A3"/>
          <w:right w:val="single" w:sz="0" w:space="0" w:color="0466A3"/>
        </w:pBdr>
        <w:shd w:val="clear" w:color="auto" w:fill="0466A3"/>
        <w:bidi w:val="0"/>
        <w:spacing w:before="0" w:after="23" w:line="240" w:lineRule="auto"/>
        <w:ind w:left="0" w:right="0" w:firstLine="0"/>
        <w:jc w:val="left"/>
      </w:pPr>
      <w:bookmarkStart w:id="48" w:name="bookmark48"/>
      <w:bookmarkStart w:id="49" w:name="bookmark49"/>
      <w:r>
        <w:rPr>
          <w:color w:val="FFFFFF"/>
          <w:spacing w:val="0"/>
          <w:w w:val="100"/>
          <w:position w:val="0"/>
          <w:sz w:val="24"/>
          <w:szCs w:val="24"/>
          <w:shd w:val="clear" w:color="auto" w:fill="auto"/>
          <w:lang w:val="bg-BG" w:eastAsia="bg-BG" w:bidi="bg-BG"/>
        </w:rPr>
        <w:t xml:space="preserve">Част </w:t>
      </w:r>
      <w:r>
        <w:rPr>
          <w:color w:val="FFFFFF"/>
          <w:spacing w:val="0"/>
          <w:w w:val="100"/>
          <w:position w:val="0"/>
          <w:sz w:val="24"/>
          <w:szCs w:val="24"/>
          <w:shd w:val="clear" w:color="auto" w:fill="auto"/>
          <w:lang w:val="en-GB" w:eastAsia="en-GB" w:bidi="en-GB"/>
        </w:rPr>
        <w:t xml:space="preserve">VI: </w:t>
      </w:r>
      <w:r>
        <w:rPr>
          <w:color w:val="FFFFFF"/>
          <w:spacing w:val="0"/>
          <w:w w:val="100"/>
          <w:position w:val="0"/>
          <w:sz w:val="24"/>
          <w:szCs w:val="24"/>
          <w:shd w:val="clear" w:color="auto" w:fill="auto"/>
          <w:lang w:val="bg-BG" w:eastAsia="bg-BG" w:bidi="bg-BG"/>
        </w:rPr>
        <w:t>Заключителни положения</w:t>
      </w:r>
      <w:bookmarkEnd w:id="48"/>
      <w:bookmarkEnd w:id="49"/>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декларира, че информацията, посочена в части </w:t>
      </w:r>
      <w:r>
        <w:rPr>
          <w:color w:val="000000"/>
          <w:spacing w:val="0"/>
          <w:w w:val="100"/>
          <w:position w:val="0"/>
          <w:sz w:val="24"/>
          <w:szCs w:val="24"/>
          <w:shd w:val="clear" w:color="auto" w:fill="auto"/>
          <w:lang w:val="en-GB" w:eastAsia="en-GB" w:bidi="en-GB"/>
        </w:rPr>
        <w:t xml:space="preserve">II </w:t>
      </w:r>
      <w:r>
        <w:rPr>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по-горе, е вярна и точна и че е представена с ясното разбиране на последствията при представяне на неверни данни.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Икономическият оператор официално декларира, че е в състояние при поискване и без забава да представи указаните сертификати и други документални доказателства, освен в случаите, когато:</w:t>
      </w:r>
    </w:p>
    <w:p>
      <w:pPr>
        <w:pStyle w:val="Style11"/>
        <w:keepNext w:val="0"/>
        <w:keepLines w:val="0"/>
        <w:widowControl w:val="0"/>
        <w:shd w:val="clear" w:color="auto" w:fill="auto"/>
        <w:tabs>
          <w:tab w:pos="700" w:val="left"/>
        </w:tabs>
        <w:bidi w:val="0"/>
        <w:spacing w:before="0" w:after="0"/>
        <w:ind w:left="260" w:right="0" w:firstLine="0"/>
        <w:jc w:val="left"/>
      </w:pPr>
      <w:r>
        <w:rPr>
          <w:color w:val="000000"/>
          <w:spacing w:val="0"/>
          <w:w w:val="100"/>
          <w:position w:val="0"/>
          <w:sz w:val="24"/>
          <w:szCs w:val="24"/>
          <w:shd w:val="clear" w:color="auto" w:fill="auto"/>
          <w:lang w:val="bg-BG" w:eastAsia="bg-BG" w:bidi="bg-BG"/>
        </w:rPr>
        <w:t>а)</w:t>
        <w:tab/>
        <w:t>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 (при условие че икономическият оператор е предоставил необходимата информация (уеб адрес, орган или организация, издали документа, точна информация за документа), за да може възлагащият орган или възложителят да направят това. Когато има такова изискване, информацията трябва да бъде придружена със съответното съгласие за достъп до документите), или</w:t>
      </w:r>
    </w:p>
    <w:p>
      <w:pPr>
        <w:pStyle w:val="Style11"/>
        <w:keepNext w:val="0"/>
        <w:keepLines w:val="0"/>
        <w:widowControl w:val="0"/>
        <w:shd w:val="clear" w:color="auto" w:fill="auto"/>
        <w:tabs>
          <w:tab w:pos="700" w:val="left"/>
        </w:tabs>
        <w:bidi w:val="0"/>
        <w:spacing w:before="0" w:after="400"/>
        <w:ind w:left="260" w:right="0" w:firstLine="0"/>
        <w:jc w:val="left"/>
      </w:pPr>
      <w:r>
        <w:rPr>
          <w:color w:val="000000"/>
          <w:spacing w:val="0"/>
          <w:w w:val="100"/>
          <w:position w:val="0"/>
          <w:sz w:val="24"/>
          <w:szCs w:val="24"/>
          <w:shd w:val="clear" w:color="auto" w:fill="auto"/>
          <w:lang w:val="bg-BG" w:eastAsia="bg-BG" w:bidi="bg-BG"/>
        </w:rPr>
        <w:t>б)</w:t>
        <w:tab/>
        <w:t>считано от 18 октомври 2018 г. най-късно (в зависимост от изпълнението на член 59, параграф 5, втора алинея от Директива</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2014/24/ЕС на национално равнище), възлагащият орган или възложителят вече притежава съответната документация.</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 xml:space="preserve">Икономическият оператор дава своето официално съгласие възлагащият орган или възложителят, посочен в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да получи достъп до документите, подкрепящи информацията, предоставена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 xml:space="preserve">и Част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от настоящия Единен европейски документ за обществени поръчки, за целите на обществената поръчка, посочена в Част </w:t>
      </w:r>
      <w:r>
        <w:rPr>
          <w:color w:val="000000"/>
          <w:spacing w:val="0"/>
          <w:w w:val="100"/>
          <w:position w:val="0"/>
          <w:sz w:val="24"/>
          <w:szCs w:val="24"/>
          <w:shd w:val="clear" w:color="auto" w:fill="auto"/>
          <w:lang w:val="en-GB" w:eastAsia="en-GB" w:bidi="en-GB"/>
        </w:rPr>
        <w:t>I.</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Дата, място и — когато се изисква или е необходимо — подпис(и):</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Дата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Място</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Подпис</w:t>
      </w:r>
    </w:p>
    <w:sectPr>
      <w:footerReference w:type="default" r:id="rId5"/>
      <w:footnotePr>
        <w:pos w:val="pageBottom"/>
        <w:numFmt w:val="decimal"/>
        <w:numRestart w:val="continuous"/>
      </w:footnotePr>
      <w:pgSz w:w="12240" w:h="15840"/>
      <w:pgMar w:top="515" w:left="1031" w:right="1134" w:bottom="811" w:header="8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3745230</wp:posOffset>
              </wp:positionH>
              <wp:positionV relativeFrom="page">
                <wp:posOffset>9606915</wp:posOffset>
              </wp:positionV>
              <wp:extent cx="225425" cy="128270"/>
              <wp:wrapNone/>
              <wp:docPr id="1" name="Shape 1"/>
              <a:graphic xmlns:a="http://schemas.openxmlformats.org/drawingml/2006/main">
                <a:graphicData uri="http://schemas.microsoft.com/office/word/2010/wordprocessingShape">
                  <wps:wsp>
                    <wps:cNvSpPr txBox="1"/>
                    <wps:spPr>
                      <a:xfrm>
                        <a:ext cx="22542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4.89999999999998pt;margin-top:756.45000000000005pt;width:17.75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GB" w:eastAsia="en-GB" w:bidi="en-GB"/>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bg-BG" w:eastAsia="bg-BG" w:bidi="bg-BG"/>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customStyle="1" w:styleId="CharStyle3">
    <w:name w:val="Body text (2)_"/>
    <w:basedOn w:val="DefaultParagraphFont"/>
    <w:link w:val="Style2"/>
    <w:rPr>
      <w:rFonts w:ascii="Arial" w:eastAsia="Arial" w:hAnsi="Arial" w:cs="Arial"/>
      <w:b/>
      <w:bCs/>
      <w:i w:val="0"/>
      <w:iCs w:val="0"/>
      <w:smallCaps w:val="0"/>
      <w:strike w:val="0"/>
      <w:sz w:val="28"/>
      <w:szCs w:val="28"/>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Heading #2_"/>
    <w:basedOn w:val="DefaultParagraphFont"/>
    <w:link w:val="Style8"/>
    <w:rPr>
      <w:rFonts w:ascii="Arial" w:eastAsia="Arial" w:hAnsi="Arial" w:cs="Arial"/>
      <w:b/>
      <w:bCs/>
      <w:i w:val="0"/>
      <w:iCs w:val="0"/>
      <w:smallCaps w:val="0"/>
      <w:strike w:val="0"/>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28"/>
      <w:szCs w:val="28"/>
      <w:u w:val="none"/>
    </w:rPr>
  </w:style>
  <w:style w:type="paragraph" w:customStyle="1" w:styleId="Style2">
    <w:name w:val="Body text (2)"/>
    <w:basedOn w:val="Normal"/>
    <w:link w:val="CharStyle3"/>
    <w:pPr>
      <w:widowControl w:val="0"/>
      <w:shd w:val="clear" w:color="auto" w:fill="FFFFFF"/>
      <w:spacing w:before="380" w:after="660" w:line="259" w:lineRule="auto"/>
    </w:pPr>
    <w:rPr>
      <w:rFonts w:ascii="Arial" w:eastAsia="Arial" w:hAnsi="Arial" w:cs="Arial"/>
      <w:b/>
      <w:bCs/>
      <w:i w:val="0"/>
      <w:iCs w:val="0"/>
      <w:smallCaps w:val="0"/>
      <w:strike w:val="0"/>
      <w:sz w:val="28"/>
      <w:szCs w:val="28"/>
      <w:u w:val="none"/>
    </w:rPr>
  </w:style>
  <w:style w:type="paragraph" w:customStyle="1" w:styleId="Style5">
    <w:name w:val="Header or footer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Heading #2"/>
    <w:basedOn w:val="Normal"/>
    <w:link w:val="CharStyle9"/>
    <w:pPr>
      <w:widowControl w:val="0"/>
      <w:shd w:val="clear" w:color="auto" w:fill="FFFFFF"/>
      <w:spacing w:line="329" w:lineRule="auto"/>
      <w:outlineLvl w:val="1"/>
    </w:pPr>
    <w:rPr>
      <w:rFonts w:ascii="Arial" w:eastAsia="Arial" w:hAnsi="Arial" w:cs="Arial"/>
      <w:b/>
      <w:bCs/>
      <w:i w:val="0"/>
      <w:iCs w:val="0"/>
      <w:smallCaps w:val="0"/>
      <w:strike w:val="0"/>
      <w:u w:val="none"/>
    </w:rPr>
  </w:style>
  <w:style w:type="paragraph" w:styleId="Style11">
    <w:name w:val="Body text"/>
    <w:basedOn w:val="Normal"/>
    <w:link w:val="CharStyle12"/>
    <w:qFormat/>
    <w:pPr>
      <w:widowControl w:val="0"/>
      <w:shd w:val="clear" w:color="auto" w:fill="FFFFFF"/>
      <w:spacing w:after="50" w:line="329" w:lineRule="auto"/>
    </w:pPr>
    <w:rPr>
      <w:rFonts w:ascii="Arial" w:eastAsia="Arial" w:hAnsi="Arial" w:cs="Arial"/>
      <w:b w:val="0"/>
      <w:bCs w:val="0"/>
      <w:i w:val="0"/>
      <w:iCs w:val="0"/>
      <w:smallCaps w:val="0"/>
      <w:strike w:val="0"/>
      <w:u w:val="none"/>
    </w:rPr>
  </w:style>
  <w:style w:type="paragraph" w:customStyle="1" w:styleId="Style15">
    <w:name w:val="Heading #1"/>
    <w:basedOn w:val="Normal"/>
    <w:link w:val="CharStyle16"/>
    <w:pPr>
      <w:widowControl w:val="0"/>
      <w:shd w:val="clear" w:color="auto" w:fill="FFFFFF"/>
      <w:spacing w:after="660"/>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